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9AFB4" w14:textId="77777777" w:rsidR="00773728" w:rsidRPr="00773728" w:rsidRDefault="00773728" w:rsidP="00773728">
      <w:pPr>
        <w:widowControl/>
        <w:jc w:val="center"/>
        <w:rPr>
          <w:rFonts w:ascii="Times New Roman" w:eastAsia="宋体" w:hAnsi="Times New Roman" w:cs="Times New Roman"/>
          <w:color w:val="000000"/>
          <w:kern w:val="0"/>
          <w:sz w:val="20"/>
          <w:szCs w:val="20"/>
        </w:rPr>
      </w:pPr>
      <w:r w:rsidRPr="00773728">
        <w:rPr>
          <w:rFonts w:ascii="Times New Roman" w:eastAsia="宋体" w:hAnsi="Times New Roman" w:cs="Times New Roman"/>
          <w:b/>
          <w:bCs/>
          <w:smallCaps/>
          <w:color w:val="000000"/>
          <w:kern w:val="0"/>
          <w:sz w:val="20"/>
          <w:szCs w:val="20"/>
        </w:rPr>
        <w:t>ALE Group Holding Limited</w:t>
      </w:r>
    </w:p>
    <w:p w14:paraId="16A64E68" w14:textId="77777777" w:rsidR="00773728" w:rsidRPr="00773728" w:rsidRDefault="00773728" w:rsidP="00773728">
      <w:pPr>
        <w:widowControl/>
        <w:jc w:val="center"/>
        <w:rPr>
          <w:rFonts w:ascii="Times New Roman" w:eastAsia="宋体" w:hAnsi="Times New Roman" w:cs="Times New Roman"/>
          <w:color w:val="000000"/>
          <w:kern w:val="0"/>
          <w:sz w:val="20"/>
          <w:szCs w:val="20"/>
        </w:rPr>
      </w:pPr>
      <w:r w:rsidRPr="00773728">
        <w:rPr>
          <w:rFonts w:ascii="Times New Roman" w:eastAsia="宋体" w:hAnsi="Times New Roman" w:cs="Times New Roman"/>
          <w:b/>
          <w:bCs/>
          <w:smallCaps/>
          <w:color w:val="000000"/>
          <w:kern w:val="0"/>
          <w:sz w:val="20"/>
          <w:szCs w:val="20"/>
        </w:rPr>
        <w:t>Charter of The Compensation Committee</w:t>
      </w:r>
      <w:r w:rsidRPr="00773728">
        <w:rPr>
          <w:rFonts w:ascii="Times New Roman" w:eastAsia="宋体" w:hAnsi="Times New Roman" w:cs="Times New Roman"/>
          <w:b/>
          <w:bCs/>
          <w:smallCaps/>
          <w:color w:val="000000"/>
          <w:kern w:val="0"/>
          <w:sz w:val="20"/>
          <w:szCs w:val="20"/>
        </w:rPr>
        <w:br/>
        <w:t>of The Board Of Directors</w:t>
      </w:r>
    </w:p>
    <w:p w14:paraId="051AA03C" w14:textId="77777777" w:rsidR="00773728" w:rsidRPr="00773728" w:rsidRDefault="00773728" w:rsidP="00773728">
      <w:pPr>
        <w:widowControl/>
        <w:jc w:val="center"/>
        <w:rPr>
          <w:rFonts w:ascii="Times New Roman" w:eastAsia="宋体" w:hAnsi="Times New Roman" w:cs="Times New Roman"/>
          <w:color w:val="000000"/>
          <w:kern w:val="0"/>
          <w:sz w:val="20"/>
          <w:szCs w:val="20"/>
        </w:rPr>
      </w:pPr>
      <w:r w:rsidRPr="00773728">
        <w:rPr>
          <w:rFonts w:ascii="Times New Roman" w:eastAsia="宋体" w:hAnsi="Times New Roman" w:cs="Times New Roman"/>
          <w:b/>
          <w:bCs/>
          <w:color w:val="000000"/>
          <w:kern w:val="0"/>
          <w:sz w:val="20"/>
          <w:szCs w:val="20"/>
        </w:rPr>
        <w:t> </w:t>
      </w:r>
    </w:p>
    <w:p w14:paraId="6981D6F7"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The following Compensation Committee Charter (the “</w:t>
      </w:r>
      <w:r w:rsidRPr="00773728">
        <w:rPr>
          <w:rFonts w:ascii="Times New Roman" w:eastAsia="宋体" w:hAnsi="Times New Roman" w:cs="Times New Roman"/>
          <w:b/>
          <w:bCs/>
          <w:color w:val="000000"/>
          <w:kern w:val="0"/>
          <w:sz w:val="20"/>
          <w:szCs w:val="20"/>
        </w:rPr>
        <w:t>Charter</w:t>
      </w:r>
      <w:r w:rsidRPr="00773728">
        <w:rPr>
          <w:rFonts w:ascii="Times New Roman" w:eastAsia="宋体" w:hAnsi="Times New Roman" w:cs="Times New Roman"/>
          <w:color w:val="000000"/>
          <w:kern w:val="0"/>
          <w:sz w:val="20"/>
          <w:szCs w:val="20"/>
        </w:rPr>
        <w:t>”) was adopted by the Board of Directors (the “</w:t>
      </w:r>
      <w:r w:rsidRPr="00773728">
        <w:rPr>
          <w:rFonts w:ascii="Times New Roman" w:eastAsia="宋体" w:hAnsi="Times New Roman" w:cs="Times New Roman"/>
          <w:b/>
          <w:bCs/>
          <w:color w:val="000000"/>
          <w:kern w:val="0"/>
          <w:sz w:val="20"/>
          <w:szCs w:val="20"/>
        </w:rPr>
        <w:t>Board</w:t>
      </w:r>
      <w:r w:rsidRPr="00773728">
        <w:rPr>
          <w:rFonts w:ascii="Times New Roman" w:eastAsia="宋体" w:hAnsi="Times New Roman" w:cs="Times New Roman"/>
          <w:color w:val="000000"/>
          <w:kern w:val="0"/>
          <w:sz w:val="20"/>
          <w:szCs w:val="20"/>
        </w:rPr>
        <w:t>”) of ALE Group Holding Limited, a British Virgin Islands company (the “</w:t>
      </w:r>
      <w:r w:rsidRPr="00773728">
        <w:rPr>
          <w:rFonts w:ascii="Times New Roman" w:eastAsia="宋体" w:hAnsi="Times New Roman" w:cs="Times New Roman"/>
          <w:b/>
          <w:bCs/>
          <w:color w:val="000000"/>
          <w:kern w:val="0"/>
          <w:sz w:val="20"/>
          <w:szCs w:val="20"/>
        </w:rPr>
        <w:t>Company</w:t>
      </w:r>
      <w:r w:rsidRPr="00773728">
        <w:rPr>
          <w:rFonts w:ascii="Times New Roman" w:eastAsia="宋体" w:hAnsi="Times New Roman" w:cs="Times New Roman"/>
          <w:color w:val="000000"/>
          <w:kern w:val="0"/>
          <w:sz w:val="20"/>
          <w:szCs w:val="20"/>
        </w:rPr>
        <w:t>”).</w:t>
      </w:r>
    </w:p>
    <w:p w14:paraId="3520B246"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4263FA86"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1. </w:t>
      </w:r>
      <w:r w:rsidRPr="00773728">
        <w:rPr>
          <w:rFonts w:ascii="Times New Roman" w:eastAsia="宋体" w:hAnsi="Times New Roman" w:cs="Times New Roman"/>
          <w:color w:val="000000"/>
          <w:kern w:val="0"/>
          <w:sz w:val="20"/>
          <w:szCs w:val="20"/>
          <w:u w:val="single"/>
        </w:rPr>
        <w:t>Members</w:t>
      </w:r>
      <w:r w:rsidRPr="00773728">
        <w:rPr>
          <w:rFonts w:ascii="Times New Roman" w:eastAsia="宋体" w:hAnsi="Times New Roman" w:cs="Times New Roman"/>
          <w:color w:val="000000"/>
          <w:kern w:val="0"/>
          <w:sz w:val="20"/>
          <w:szCs w:val="20"/>
        </w:rPr>
        <w:t>. The Board shall appoint the members of the Compensation Committee (the “</w:t>
      </w:r>
      <w:r w:rsidRPr="00773728">
        <w:rPr>
          <w:rFonts w:ascii="Times New Roman" w:eastAsia="宋体" w:hAnsi="Times New Roman" w:cs="Times New Roman"/>
          <w:b/>
          <w:bCs/>
          <w:color w:val="000000"/>
          <w:kern w:val="0"/>
          <w:sz w:val="20"/>
          <w:szCs w:val="20"/>
        </w:rPr>
        <w:t>Committee</w:t>
      </w:r>
      <w:r w:rsidRPr="00773728">
        <w:rPr>
          <w:rFonts w:ascii="Times New Roman" w:eastAsia="宋体" w:hAnsi="Times New Roman" w:cs="Times New Roman"/>
          <w:color w:val="000000"/>
          <w:kern w:val="0"/>
          <w:sz w:val="20"/>
          <w:szCs w:val="20"/>
        </w:rPr>
        <w:t>”). The Committee shall consist of at least two directors of the Board, and must be comprised solely of “independent” directors of the Board who shall also satisfy such other criteria imposed on members of the Committee pursuant to the federal securities laws and the rules and regulations of the Securities and Exchange Commission (“</w:t>
      </w:r>
      <w:r w:rsidRPr="00773728">
        <w:rPr>
          <w:rFonts w:ascii="Times New Roman" w:eastAsia="宋体" w:hAnsi="Times New Roman" w:cs="Times New Roman"/>
          <w:b/>
          <w:bCs/>
          <w:color w:val="000000"/>
          <w:kern w:val="0"/>
          <w:sz w:val="20"/>
          <w:szCs w:val="20"/>
        </w:rPr>
        <w:t>SEC</w:t>
      </w:r>
      <w:r w:rsidRPr="00773728">
        <w:rPr>
          <w:rFonts w:ascii="Times New Roman" w:eastAsia="宋体" w:hAnsi="Times New Roman" w:cs="Times New Roman"/>
          <w:color w:val="000000"/>
          <w:kern w:val="0"/>
          <w:sz w:val="20"/>
          <w:szCs w:val="20"/>
        </w:rPr>
        <w:t>”), the listing standards of any exchange or national listing market system upon which the Company’s securities are listed or quoted for trading (including, without limitation, The NASDAQ Capital Market) (the “</w:t>
      </w:r>
      <w:r w:rsidRPr="00773728">
        <w:rPr>
          <w:rFonts w:ascii="Times New Roman" w:eastAsia="宋体" w:hAnsi="Times New Roman" w:cs="Times New Roman"/>
          <w:b/>
          <w:bCs/>
          <w:color w:val="000000"/>
          <w:kern w:val="0"/>
          <w:sz w:val="20"/>
          <w:szCs w:val="20"/>
        </w:rPr>
        <w:t>Principal Market</w:t>
      </w:r>
      <w:r w:rsidRPr="00773728">
        <w:rPr>
          <w:rFonts w:ascii="Times New Roman" w:eastAsia="宋体" w:hAnsi="Times New Roman" w:cs="Times New Roman"/>
          <w:color w:val="000000"/>
          <w:kern w:val="0"/>
          <w:sz w:val="20"/>
          <w:szCs w:val="20"/>
        </w:rPr>
        <w:t>”), any other applicable laws or regulations, and any additional requirements that the Board deems appropriate. Each appointed member of the Committee may be removed by the Board at any time, with or without cause. Unless the Board elects a Chair of the Committee, the Committee shall elect a Chair by majority vote. Each Committee member shall have one vote.</w:t>
      </w:r>
    </w:p>
    <w:p w14:paraId="108ED161"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520342E4"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2. </w:t>
      </w:r>
      <w:r w:rsidRPr="00773728">
        <w:rPr>
          <w:rFonts w:ascii="Times New Roman" w:eastAsia="宋体" w:hAnsi="Times New Roman" w:cs="Times New Roman"/>
          <w:color w:val="000000"/>
          <w:kern w:val="0"/>
          <w:sz w:val="20"/>
          <w:szCs w:val="20"/>
          <w:u w:val="single"/>
        </w:rPr>
        <w:t>Purpose</w:t>
      </w:r>
      <w:r w:rsidRPr="00773728">
        <w:rPr>
          <w:rFonts w:ascii="Times New Roman" w:eastAsia="宋体" w:hAnsi="Times New Roman" w:cs="Times New Roman"/>
          <w:color w:val="000000"/>
          <w:kern w:val="0"/>
          <w:sz w:val="20"/>
          <w:szCs w:val="20"/>
        </w:rPr>
        <w:t>. In addition to such other duties as may be assigned to the Committee by the Board from time to time, the purpose of the Committee is to represent and assist the Board in (a) discharging its responsibilities for approving and evaluating the officer compensation plans, policies and programs of the Company, (b) reviewing and recommending to the Board regarding compensation to be provided to the Company’s employees and directors, and (c) implementing and administering the equity compensation plans of the Company. The Committee shall ensure that the Company’s compensation programs are competitive, designed to attract and retain highly qualified directors, officers and employees, encourage high performance, promote accountability and assure that employee interests are aligned with the interests of the Company’s shareholders.</w:t>
      </w:r>
    </w:p>
    <w:p w14:paraId="6229F7B2"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7F1063D1"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3. </w:t>
      </w:r>
      <w:r w:rsidRPr="00773728">
        <w:rPr>
          <w:rFonts w:ascii="Times New Roman" w:eastAsia="宋体" w:hAnsi="Times New Roman" w:cs="Times New Roman"/>
          <w:color w:val="000000"/>
          <w:kern w:val="0"/>
          <w:sz w:val="20"/>
          <w:szCs w:val="20"/>
          <w:u w:val="single"/>
        </w:rPr>
        <w:t>Duties and Responsibilities</w:t>
      </w:r>
      <w:r w:rsidRPr="00773728">
        <w:rPr>
          <w:rFonts w:ascii="Times New Roman" w:eastAsia="宋体" w:hAnsi="Times New Roman" w:cs="Times New Roman"/>
          <w:color w:val="000000"/>
          <w:kern w:val="0"/>
          <w:sz w:val="20"/>
          <w:szCs w:val="20"/>
        </w:rPr>
        <w:t>. The Committee shall, among its duties and responsibilities as may be delegated to the Committee by the Board, and in addition to any duties and responsibilities imparted to the Committee by the SEC or any applicable Principal Market or any other applicable laws or regulations:</w:t>
      </w:r>
    </w:p>
    <w:p w14:paraId="32D2484E"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482CAA15"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(a) Determine, in executive session at which the Chief Executive Officer of the Company (the “</w:t>
      </w:r>
      <w:r w:rsidRPr="00773728">
        <w:rPr>
          <w:rFonts w:ascii="Times New Roman" w:eastAsia="宋体" w:hAnsi="Times New Roman" w:cs="Times New Roman"/>
          <w:b/>
          <w:bCs/>
          <w:color w:val="000000"/>
          <w:kern w:val="0"/>
          <w:sz w:val="20"/>
          <w:szCs w:val="20"/>
        </w:rPr>
        <w:t>CEO</w:t>
      </w:r>
      <w:r w:rsidRPr="00773728">
        <w:rPr>
          <w:rFonts w:ascii="Times New Roman" w:eastAsia="宋体" w:hAnsi="Times New Roman" w:cs="Times New Roman"/>
          <w:color w:val="000000"/>
          <w:kern w:val="0"/>
          <w:sz w:val="20"/>
          <w:szCs w:val="20"/>
        </w:rPr>
        <w:t>”) is not present, the compensation for the Company’s CEO or President, if such person is acting as the CEO.</w:t>
      </w:r>
    </w:p>
    <w:p w14:paraId="7485C7FC"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4B55FF04"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(b) Review and determine the compensation of the executive officers of the Company other than the CEO based upon the recommendation of the CEO and such other customary factors that the Committee deems necessary or appropriate.</w:t>
      </w:r>
    </w:p>
    <w:p w14:paraId="3D2508A8"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50C9E474"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lastRenderedPageBreak/>
        <w:t>(c) Recommend awards and/or bonuses to be granted to executive officers of the Company under the Company’s equity plans and other compensation or benefit plans or policies as approved by the Board or the Committee.</w:t>
      </w:r>
    </w:p>
    <w:p w14:paraId="6C4E24A8"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0CE13E2A"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(d) Approve the overall amount or percentage of plan and/or bonus awards to be granted to all Company employees and delegate to the Company’s executive management the right and power to specifically grant such awards to each Company employee within the aggregate limits and parameters set by the Committee.</w:t>
      </w:r>
    </w:p>
    <w:p w14:paraId="381A91EC"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6E5CDB34"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(e) Review and evaluate the performance of the CEO and the other executive officers of the Company;</w:t>
      </w:r>
    </w:p>
    <w:p w14:paraId="7B525D3D"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21CFD709"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(f) Review and approve the design of other benefit plans pertaining to executives and employees of the Company.</w:t>
      </w:r>
    </w:p>
    <w:p w14:paraId="3D794112" w14:textId="77777777" w:rsidR="00773728" w:rsidRPr="00773728" w:rsidRDefault="00773728" w:rsidP="00773728">
      <w:pPr>
        <w:widowControl/>
        <w:ind w:left="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6FC23058"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(g) Prepare and approve such reports on compensation as are necessary for filing with the SEC and other government bodies, including in the Company’s annual proxy statement.</w:t>
      </w:r>
    </w:p>
    <w:p w14:paraId="07C593E3"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7BE01E4E"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(h) Review, recommend to the Board, and administer all plans that require “disinterested administration” under Rule 16b-3 under the Securities Exchange Act of 1934, as amended.</w:t>
      </w:r>
    </w:p>
    <w:p w14:paraId="5FF78873"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363A9632"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w:t>
      </w:r>
      <w:proofErr w:type="spellStart"/>
      <w:r w:rsidRPr="00773728">
        <w:rPr>
          <w:rFonts w:ascii="Times New Roman" w:eastAsia="宋体" w:hAnsi="Times New Roman" w:cs="Times New Roman"/>
          <w:color w:val="000000"/>
          <w:kern w:val="0"/>
          <w:sz w:val="20"/>
          <w:szCs w:val="20"/>
        </w:rPr>
        <w:t>i</w:t>
      </w:r>
      <w:proofErr w:type="spellEnd"/>
      <w:r w:rsidRPr="00773728">
        <w:rPr>
          <w:rFonts w:ascii="Times New Roman" w:eastAsia="宋体" w:hAnsi="Times New Roman" w:cs="Times New Roman"/>
          <w:color w:val="000000"/>
          <w:kern w:val="0"/>
          <w:sz w:val="20"/>
          <w:szCs w:val="20"/>
        </w:rPr>
        <w:t>) Approve the amendment or modification of any compensation or benefit plan pertaining to executives or employees of the Company that does not require shareholder approval.</w:t>
      </w:r>
    </w:p>
    <w:p w14:paraId="00A0BDA8"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31988011"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(j) Review and recommend to the Board the adoption of or changes to the compensation of the Company’s independent directors.</w:t>
      </w:r>
    </w:p>
    <w:p w14:paraId="4275E232"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3F736B39"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(k) Retain (at the Company’s expense) outside consultants and obtain assistance from members of management as the Committee deems appropriate in the exercise of its authority.</w:t>
      </w:r>
    </w:p>
    <w:p w14:paraId="49E53DC7"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7A7FCD7C"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(l) Make reports and recommendations to the Board within the scope of its functions and advise the officers of the Company regarding various personnel matters as may be raised with the Committee.</w:t>
      </w:r>
    </w:p>
    <w:p w14:paraId="13FB1838"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22DCCDB9"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(m) Approve all special perquisites, special cash payments and other special compensation and benefit arrangements for the Company’s executive officers and employees.</w:t>
      </w:r>
    </w:p>
    <w:p w14:paraId="0BCD0096"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529C2DD1"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(n) Review the form, terms and provisions of employment and similar agreements with the Company’s executive officers and any amendments thereto.</w:t>
      </w:r>
    </w:p>
    <w:p w14:paraId="4C969506"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47DFE8D0"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(o) To the extent the same has been adopted, review, at least annually, the compensation philosophy of the Company.</w:t>
      </w:r>
    </w:p>
    <w:p w14:paraId="73F34109"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5612EF6D"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lastRenderedPageBreak/>
        <w:t>The powers and responsibilities delegated by the Board to the Committee in this Charter or otherwise shall be exercised and carried out by the Committee as it deems appropriate without requirement of Board approval, and any decision made by the Committee (including any decision to exercise or refrain from exercising any of the powers delegated to the Committee hereunder) shall be at the Committee’s sole discretion. While acting within the scope of the powers and responsibilities delegated to it, the Committee shall have and may exercise all the powers and authority of the Board. To the fullest extent permitted by law, the Committee shall have the power to determine which matters are within the scope of the powers and responsibilities delegated to it. To the extent that the Company’s securities are not listed or quoted on a Principal Market, the Committee shall determine which of the aforementioned duties and responsibilities it shall undertake or shall be applicable to the Committee.</w:t>
      </w:r>
    </w:p>
    <w:p w14:paraId="2F781DDD"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2E1E6507"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4. </w:t>
      </w:r>
      <w:r w:rsidRPr="00773728">
        <w:rPr>
          <w:rFonts w:ascii="Times New Roman" w:eastAsia="宋体" w:hAnsi="Times New Roman" w:cs="Times New Roman"/>
          <w:color w:val="000000"/>
          <w:kern w:val="0"/>
          <w:sz w:val="20"/>
          <w:szCs w:val="20"/>
          <w:u w:val="single"/>
        </w:rPr>
        <w:t>Meetings; Reports</w:t>
      </w:r>
      <w:r w:rsidRPr="00773728">
        <w:rPr>
          <w:rFonts w:ascii="Times New Roman" w:eastAsia="宋体" w:hAnsi="Times New Roman" w:cs="Times New Roman"/>
          <w:color w:val="000000"/>
          <w:kern w:val="0"/>
          <w:sz w:val="20"/>
          <w:szCs w:val="20"/>
        </w:rPr>
        <w:t>. The Committee will meet as often as it deems necessary or appropriate, in its judgment, either in person or telephonically, and at such times and places as the Committee members determine. Face to face meetings shall be encouraged at least twice each year. The majority of the members of the Committee constitutes a quorum and shall be empowered to act on behalf of the Committee. Minutes will be kept of each meeting of the Committee. The Chairman of the Committee shall report to the Board following meetings of the Committee and as otherwise requested by the Chairman of the Board. The Committee shall also make reports and recommendations to the Board within the scope of its functions.</w:t>
      </w:r>
    </w:p>
    <w:p w14:paraId="5F168ACB"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7ED771FF"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5. </w:t>
      </w:r>
      <w:r w:rsidRPr="00773728">
        <w:rPr>
          <w:rFonts w:ascii="Times New Roman" w:eastAsia="宋体" w:hAnsi="Times New Roman" w:cs="Times New Roman"/>
          <w:color w:val="000000"/>
          <w:kern w:val="0"/>
          <w:sz w:val="20"/>
          <w:szCs w:val="20"/>
          <w:u w:val="single"/>
        </w:rPr>
        <w:t>Compensation Consultant</w:t>
      </w:r>
      <w:r w:rsidRPr="00773728">
        <w:rPr>
          <w:rFonts w:ascii="Times New Roman" w:eastAsia="宋体" w:hAnsi="Times New Roman" w:cs="Times New Roman"/>
          <w:color w:val="000000"/>
          <w:kern w:val="0"/>
          <w:sz w:val="20"/>
          <w:szCs w:val="20"/>
        </w:rPr>
        <w:t>. The Committee may, in its sole discretion, retain or obtain the advice of a compensation consultant, legal counsel or other adviser. The Committee shall be directly responsible for the appointment, compensation and oversight of the work of any compensation consultant, legal counsel and other adviser retained by the Committee. The Company shall provide for appropriate funding, as determined by the Committee, for payment of reasonable compensation to a compensation consultant, legal counsel or any other adviser retained by the Committee.</w:t>
      </w:r>
    </w:p>
    <w:p w14:paraId="2A3D4530"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0B941E87"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Before engaging or receiving advice from a compensation consultant, external legal counsel or any other adviser, the Committee shall consider the independence of each such adviser by taking into account the following factors and any other factors required by the Principal Market or the SEC and corresponding rules that may be amended from time to time, including any exceptions permitted by such rules:</w:t>
      </w:r>
    </w:p>
    <w:p w14:paraId="4C63DD96"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157C1DEE"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w:t>
      </w:r>
      <w:proofErr w:type="spellStart"/>
      <w:r w:rsidRPr="00773728">
        <w:rPr>
          <w:rFonts w:ascii="Times New Roman" w:eastAsia="宋体" w:hAnsi="Times New Roman" w:cs="Times New Roman"/>
          <w:color w:val="000000"/>
          <w:kern w:val="0"/>
          <w:sz w:val="20"/>
          <w:szCs w:val="20"/>
        </w:rPr>
        <w:t>i</w:t>
      </w:r>
      <w:proofErr w:type="spellEnd"/>
      <w:r w:rsidRPr="00773728">
        <w:rPr>
          <w:rFonts w:ascii="Times New Roman" w:eastAsia="宋体" w:hAnsi="Times New Roman" w:cs="Times New Roman"/>
          <w:color w:val="000000"/>
          <w:kern w:val="0"/>
          <w:sz w:val="20"/>
          <w:szCs w:val="20"/>
        </w:rPr>
        <w:t>) the provision of other services to the Company by the person that employs the compensation consultant, legal counsel or other adviser (the “</w:t>
      </w:r>
      <w:r w:rsidRPr="00773728">
        <w:rPr>
          <w:rFonts w:ascii="Times New Roman" w:eastAsia="宋体" w:hAnsi="Times New Roman" w:cs="Times New Roman"/>
          <w:b/>
          <w:bCs/>
          <w:color w:val="000000"/>
          <w:kern w:val="0"/>
          <w:sz w:val="20"/>
          <w:szCs w:val="20"/>
        </w:rPr>
        <w:t>Advisory Firm</w:t>
      </w:r>
      <w:r w:rsidRPr="00773728">
        <w:rPr>
          <w:rFonts w:ascii="Times New Roman" w:eastAsia="宋体" w:hAnsi="Times New Roman" w:cs="Times New Roman"/>
          <w:color w:val="000000"/>
          <w:kern w:val="0"/>
          <w:sz w:val="20"/>
          <w:szCs w:val="20"/>
        </w:rPr>
        <w:t>”);</w:t>
      </w:r>
    </w:p>
    <w:p w14:paraId="5594FFD0"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5026ABEC"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(ii) the amount of fees received from the Company by the Advisory Firm, as a percentage of the total revenue of the Advisory Firm;</w:t>
      </w:r>
    </w:p>
    <w:p w14:paraId="769E6302"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3549419B"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(iii) the policies and procedures of the Advisory Firm or other adviser that are designed to prevent conflicts of interest;</w:t>
      </w:r>
    </w:p>
    <w:p w14:paraId="5666B724"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3D8CC622"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(iv) any business or personal relationship of the compensation consultant, legal counsel or adviser with a member of the Committee;</w:t>
      </w:r>
    </w:p>
    <w:p w14:paraId="5C99C8F6"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lastRenderedPageBreak/>
        <w:t> </w:t>
      </w:r>
    </w:p>
    <w:p w14:paraId="12BF7191"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(v) any stock of the Company owned by the compensation consultant, legal counsel or other adviser; and</w:t>
      </w:r>
    </w:p>
    <w:p w14:paraId="5574863D"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724EC5B2" w14:textId="77777777" w:rsidR="00773728" w:rsidRPr="00773728" w:rsidRDefault="00773728" w:rsidP="00773728">
      <w:pPr>
        <w:widowControl/>
        <w:ind w:left="720" w:firstLine="36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(vi) any business or personal relationship of the compensation consultant, legal counsel, other adviser or the Advisory Firm.</w:t>
      </w:r>
    </w:p>
    <w:p w14:paraId="53034150" w14:textId="77777777" w:rsidR="00773728" w:rsidRPr="00773728" w:rsidRDefault="00773728" w:rsidP="00773728">
      <w:pPr>
        <w:widowControl/>
        <w:ind w:left="720"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3EED7972"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6. </w:t>
      </w:r>
      <w:r w:rsidRPr="00773728">
        <w:rPr>
          <w:rFonts w:ascii="Times New Roman" w:eastAsia="宋体" w:hAnsi="Times New Roman" w:cs="Times New Roman"/>
          <w:color w:val="000000"/>
          <w:kern w:val="0"/>
          <w:sz w:val="20"/>
          <w:szCs w:val="20"/>
          <w:u w:val="single"/>
        </w:rPr>
        <w:t>Review of Charter</w:t>
      </w:r>
      <w:r w:rsidRPr="00773728">
        <w:rPr>
          <w:rFonts w:ascii="Times New Roman" w:eastAsia="宋体" w:hAnsi="Times New Roman" w:cs="Times New Roman"/>
          <w:color w:val="000000"/>
          <w:kern w:val="0"/>
          <w:sz w:val="20"/>
          <w:szCs w:val="20"/>
        </w:rPr>
        <w:t>. The Committee shall review this Charter at least annually and recommend any changes thereto to the Board.</w:t>
      </w:r>
    </w:p>
    <w:p w14:paraId="3758ED05"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6989B427"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7. </w:t>
      </w:r>
      <w:r w:rsidRPr="00773728">
        <w:rPr>
          <w:rFonts w:ascii="Times New Roman" w:eastAsia="宋体" w:hAnsi="Times New Roman" w:cs="Times New Roman"/>
          <w:color w:val="000000"/>
          <w:kern w:val="0"/>
          <w:sz w:val="20"/>
          <w:szCs w:val="20"/>
          <w:u w:val="single"/>
        </w:rPr>
        <w:t>Self-Assessment</w:t>
      </w:r>
      <w:r w:rsidRPr="00773728">
        <w:rPr>
          <w:rFonts w:ascii="Times New Roman" w:eastAsia="宋体" w:hAnsi="Times New Roman" w:cs="Times New Roman"/>
          <w:color w:val="000000"/>
          <w:kern w:val="0"/>
          <w:sz w:val="20"/>
          <w:szCs w:val="20"/>
        </w:rPr>
        <w:t>. The Committee will annually evaluate the Committee’s own performance and report that it has done so to the Board.</w:t>
      </w:r>
    </w:p>
    <w:p w14:paraId="62D1261D"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0CB02099"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8. </w:t>
      </w:r>
      <w:r w:rsidRPr="00773728">
        <w:rPr>
          <w:rFonts w:ascii="Times New Roman" w:eastAsia="宋体" w:hAnsi="Times New Roman" w:cs="Times New Roman"/>
          <w:color w:val="000000"/>
          <w:kern w:val="0"/>
          <w:sz w:val="20"/>
          <w:szCs w:val="20"/>
          <w:u w:val="single"/>
        </w:rPr>
        <w:t>Delegation by Committee</w:t>
      </w:r>
      <w:r w:rsidRPr="00773728">
        <w:rPr>
          <w:rFonts w:ascii="Times New Roman" w:eastAsia="宋体" w:hAnsi="Times New Roman" w:cs="Times New Roman"/>
          <w:color w:val="000000"/>
          <w:kern w:val="0"/>
          <w:sz w:val="20"/>
          <w:szCs w:val="20"/>
        </w:rPr>
        <w:t>. The Committee may delegate authority consistent with this Charter to one or more Committee members or subcommittees comprised of one or more Committee members when appropriate. Any such member, members or subcommittee shall be subject to this Charter. The decisions of any such member, members or subcommittees to which authority is delegated under this paragraph shall be presented to the full Committee at its next regularly scheduled meeting.</w:t>
      </w:r>
    </w:p>
    <w:p w14:paraId="5BDF3CEF"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1E31953D"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9. </w:t>
      </w:r>
      <w:r w:rsidRPr="00773728">
        <w:rPr>
          <w:rFonts w:ascii="Times New Roman" w:eastAsia="宋体" w:hAnsi="Times New Roman" w:cs="Times New Roman"/>
          <w:color w:val="000000"/>
          <w:kern w:val="0"/>
          <w:sz w:val="20"/>
          <w:szCs w:val="20"/>
          <w:u w:val="single"/>
        </w:rPr>
        <w:t>Amendment</w:t>
      </w:r>
      <w:r w:rsidRPr="00773728">
        <w:rPr>
          <w:rFonts w:ascii="Times New Roman" w:eastAsia="宋体" w:hAnsi="Times New Roman" w:cs="Times New Roman"/>
          <w:color w:val="000000"/>
          <w:kern w:val="0"/>
          <w:sz w:val="20"/>
          <w:szCs w:val="20"/>
        </w:rPr>
        <w:t>. Any amendment or other modification of this Charter shall be made and approved by the full Board.</w:t>
      </w:r>
    </w:p>
    <w:p w14:paraId="6F36F4AA"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2A54FDBE"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10. </w:t>
      </w:r>
      <w:r w:rsidRPr="00773728">
        <w:rPr>
          <w:rFonts w:ascii="Times New Roman" w:eastAsia="宋体" w:hAnsi="Times New Roman" w:cs="Times New Roman"/>
          <w:color w:val="000000"/>
          <w:kern w:val="0"/>
          <w:sz w:val="20"/>
          <w:szCs w:val="20"/>
          <w:u w:val="single"/>
        </w:rPr>
        <w:t>Disclosure of Charter</w:t>
      </w:r>
      <w:r w:rsidRPr="00773728">
        <w:rPr>
          <w:rFonts w:ascii="Times New Roman" w:eastAsia="宋体" w:hAnsi="Times New Roman" w:cs="Times New Roman"/>
          <w:color w:val="000000"/>
          <w:kern w:val="0"/>
          <w:sz w:val="20"/>
          <w:szCs w:val="20"/>
        </w:rPr>
        <w:t>. If required by the rules of the SEC or any Principal Market, this Charter, as amended from time to time, shall be made available to the public on the Company’s website or the Company’s SEC filings.</w:t>
      </w:r>
    </w:p>
    <w:p w14:paraId="19972FBA" w14:textId="77777777" w:rsidR="00773728" w:rsidRPr="00773728" w:rsidRDefault="00773728" w:rsidP="00773728">
      <w:pPr>
        <w:widowControl/>
        <w:ind w:firstLine="720"/>
        <w:rPr>
          <w:rFonts w:ascii="Times New Roman" w:eastAsia="宋体" w:hAnsi="Times New Roman" w:cs="Times New Roman"/>
          <w:color w:val="000000"/>
          <w:kern w:val="0"/>
          <w:sz w:val="20"/>
          <w:szCs w:val="20"/>
        </w:rPr>
      </w:pPr>
      <w:r w:rsidRPr="00773728">
        <w:rPr>
          <w:rFonts w:ascii="Times New Roman" w:eastAsia="宋体" w:hAnsi="Times New Roman" w:cs="Times New Roman"/>
          <w:color w:val="000000"/>
          <w:kern w:val="0"/>
          <w:sz w:val="20"/>
          <w:szCs w:val="20"/>
        </w:rPr>
        <w:t> </w:t>
      </w:r>
    </w:p>
    <w:p w14:paraId="0FD7F362" w14:textId="77777777" w:rsidR="00702650" w:rsidRPr="00773728" w:rsidRDefault="00000000"/>
    <w:sectPr w:rsidR="00702650" w:rsidRPr="0077372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728"/>
    <w:rsid w:val="001D515B"/>
    <w:rsid w:val="004C3BBC"/>
    <w:rsid w:val="00773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7FCB2"/>
  <w15:chartTrackingRefBased/>
  <w15:docId w15:val="{1801D8D5-46FF-4C96-8A37-F1EB829B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7372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175140">
      <w:bodyDiv w:val="1"/>
      <w:marLeft w:val="0"/>
      <w:marRight w:val="0"/>
      <w:marTop w:val="0"/>
      <w:marBottom w:val="0"/>
      <w:divBdr>
        <w:top w:val="none" w:sz="0" w:space="0" w:color="auto"/>
        <w:left w:val="none" w:sz="0" w:space="0" w:color="auto"/>
        <w:bottom w:val="none" w:sz="0" w:space="0" w:color="auto"/>
        <w:right w:val="none" w:sz="0" w:space="0" w:color="auto"/>
      </w:divBdr>
      <w:divsChild>
        <w:div w:id="503863848">
          <w:marLeft w:val="0"/>
          <w:marRight w:val="0"/>
          <w:marTop w:val="240"/>
          <w:marBottom w:val="120"/>
          <w:divBdr>
            <w:top w:val="none" w:sz="0" w:space="0" w:color="auto"/>
            <w:left w:val="none" w:sz="0" w:space="0" w:color="auto"/>
            <w:bottom w:val="single" w:sz="12" w:space="0" w:color="000000"/>
            <w:right w:val="none" w:sz="0" w:space="0" w:color="auto"/>
          </w:divBdr>
        </w:div>
        <w:div w:id="1417745328">
          <w:marLeft w:val="0"/>
          <w:marRight w:val="0"/>
          <w:marTop w:val="120"/>
          <w:marBottom w:val="240"/>
          <w:divBdr>
            <w:top w:val="none" w:sz="0" w:space="0" w:color="auto"/>
            <w:left w:val="none" w:sz="0" w:space="0" w:color="auto"/>
            <w:bottom w:val="none" w:sz="0" w:space="0" w:color="auto"/>
            <w:right w:val="none" w:sz="0" w:space="0" w:color="auto"/>
          </w:divBdr>
        </w:div>
        <w:div w:id="1167751747">
          <w:marLeft w:val="0"/>
          <w:marRight w:val="0"/>
          <w:marTop w:val="240"/>
          <w:marBottom w:val="120"/>
          <w:divBdr>
            <w:top w:val="none" w:sz="0" w:space="0" w:color="auto"/>
            <w:left w:val="none" w:sz="0" w:space="0" w:color="auto"/>
            <w:bottom w:val="single" w:sz="12" w:space="0" w:color="000000"/>
            <w:right w:val="none" w:sz="0" w:space="0" w:color="auto"/>
          </w:divBdr>
        </w:div>
        <w:div w:id="369962693">
          <w:marLeft w:val="0"/>
          <w:marRight w:val="0"/>
          <w:marTop w:val="12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1444</Words>
  <Characters>8234</Characters>
  <Application>Microsoft Office Word</Application>
  <DocSecurity>0</DocSecurity>
  <Lines>68</Lines>
  <Paragraphs>19</Paragraphs>
  <ScaleCrop>false</ScaleCrop>
  <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Janice</dc:creator>
  <cp:keywords/>
  <dc:description/>
  <cp:lastModifiedBy>Wang Janice</cp:lastModifiedBy>
  <cp:revision>1</cp:revision>
  <dcterms:created xsi:type="dcterms:W3CDTF">2022-07-19T02:14:00Z</dcterms:created>
  <dcterms:modified xsi:type="dcterms:W3CDTF">2022-07-19T02:15:00Z</dcterms:modified>
</cp:coreProperties>
</file>